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4F7AD" w14:textId="77777777" w:rsidR="00160ACA" w:rsidRDefault="00160ACA">
      <w:pPr>
        <w:pStyle w:val="BodyText"/>
        <w:rPr>
          <w:rFonts w:ascii="Times New Roman"/>
        </w:rPr>
      </w:pPr>
    </w:p>
    <w:p w14:paraId="02DE6D76" w14:textId="77777777" w:rsidR="00160ACA" w:rsidRDefault="00160ACA">
      <w:pPr>
        <w:pStyle w:val="BodyText"/>
        <w:rPr>
          <w:rFonts w:ascii="Times New Roman"/>
        </w:rPr>
      </w:pPr>
    </w:p>
    <w:p w14:paraId="2A19F187" w14:textId="77777777" w:rsidR="00160ACA" w:rsidRDefault="00160ACA">
      <w:pPr>
        <w:pStyle w:val="BodyText"/>
        <w:rPr>
          <w:rFonts w:ascii="Times New Roman"/>
        </w:rPr>
      </w:pPr>
    </w:p>
    <w:p w14:paraId="4053A196" w14:textId="77777777" w:rsidR="00160ACA" w:rsidRDefault="00160ACA">
      <w:pPr>
        <w:pStyle w:val="BodyText"/>
        <w:rPr>
          <w:rFonts w:ascii="Times New Roman"/>
        </w:rPr>
      </w:pPr>
    </w:p>
    <w:p w14:paraId="636AC44B" w14:textId="77777777" w:rsidR="00160ACA" w:rsidRDefault="00160ACA">
      <w:pPr>
        <w:pStyle w:val="BodyText"/>
        <w:rPr>
          <w:rFonts w:ascii="Times New Roman"/>
        </w:rPr>
      </w:pPr>
    </w:p>
    <w:p w14:paraId="11F9520E" w14:textId="77777777" w:rsidR="00160ACA" w:rsidRDefault="00160ACA">
      <w:pPr>
        <w:pStyle w:val="BodyText"/>
        <w:rPr>
          <w:rFonts w:ascii="Times New Roman"/>
        </w:rPr>
      </w:pPr>
    </w:p>
    <w:p w14:paraId="24CDB0A4" w14:textId="77777777" w:rsidR="00160ACA" w:rsidRDefault="00160ACA">
      <w:pPr>
        <w:pStyle w:val="BodyText"/>
        <w:rPr>
          <w:rFonts w:ascii="Times New Roman"/>
        </w:rPr>
      </w:pPr>
    </w:p>
    <w:p w14:paraId="01FE36FC" w14:textId="77777777" w:rsidR="00160ACA" w:rsidRDefault="00160ACA">
      <w:pPr>
        <w:pStyle w:val="BodyText"/>
        <w:rPr>
          <w:rFonts w:ascii="Times New Roman"/>
        </w:rPr>
      </w:pPr>
    </w:p>
    <w:p w14:paraId="109005E4" w14:textId="77777777" w:rsidR="00160ACA" w:rsidRDefault="00160ACA">
      <w:pPr>
        <w:pStyle w:val="BodyText"/>
        <w:rPr>
          <w:rFonts w:ascii="Times New Roman"/>
        </w:rPr>
      </w:pPr>
    </w:p>
    <w:p w14:paraId="003EB2FB" w14:textId="77777777" w:rsidR="00160ACA" w:rsidRDefault="00160ACA">
      <w:pPr>
        <w:pStyle w:val="BodyText"/>
        <w:rPr>
          <w:rFonts w:ascii="Times New Roman"/>
        </w:rPr>
      </w:pPr>
    </w:p>
    <w:p w14:paraId="006505AE" w14:textId="77777777" w:rsidR="00160ACA" w:rsidRDefault="00160ACA">
      <w:pPr>
        <w:pStyle w:val="BodyText"/>
        <w:rPr>
          <w:rFonts w:ascii="Times New Roman"/>
        </w:rPr>
      </w:pPr>
    </w:p>
    <w:p w14:paraId="3E97840F" w14:textId="77777777" w:rsidR="00160ACA" w:rsidRDefault="00160ACA">
      <w:pPr>
        <w:pStyle w:val="BodyText"/>
        <w:rPr>
          <w:rFonts w:ascii="Times New Roman"/>
        </w:rPr>
      </w:pPr>
    </w:p>
    <w:p w14:paraId="55B1FCDE" w14:textId="77777777" w:rsidR="00160ACA" w:rsidRDefault="00160ACA">
      <w:pPr>
        <w:pStyle w:val="BodyText"/>
        <w:rPr>
          <w:rFonts w:ascii="Times New Roman"/>
        </w:rPr>
      </w:pPr>
    </w:p>
    <w:p w14:paraId="283EA52B" w14:textId="77777777" w:rsidR="00160ACA" w:rsidRDefault="00160ACA">
      <w:pPr>
        <w:pStyle w:val="BodyText"/>
        <w:rPr>
          <w:rFonts w:ascii="Times New Roman"/>
        </w:rPr>
      </w:pPr>
    </w:p>
    <w:p w14:paraId="06533845" w14:textId="77777777" w:rsidR="00160ACA" w:rsidRDefault="00160ACA">
      <w:pPr>
        <w:pStyle w:val="BodyText"/>
        <w:rPr>
          <w:rFonts w:ascii="Times New Roman"/>
        </w:rPr>
      </w:pPr>
    </w:p>
    <w:p w14:paraId="41A253C8" w14:textId="77777777" w:rsidR="00160ACA" w:rsidRDefault="00160ACA">
      <w:pPr>
        <w:pStyle w:val="BodyText"/>
        <w:rPr>
          <w:rFonts w:ascii="Times New Roman"/>
        </w:rPr>
      </w:pPr>
    </w:p>
    <w:p w14:paraId="0B74F9A6" w14:textId="77777777" w:rsidR="00160ACA" w:rsidRDefault="00160ACA">
      <w:pPr>
        <w:pStyle w:val="BodyText"/>
        <w:rPr>
          <w:rFonts w:ascii="Times New Roman"/>
        </w:rPr>
      </w:pPr>
    </w:p>
    <w:tbl>
      <w:tblPr>
        <w:tblpPr w:leftFromText="180" w:rightFromText="180" w:vertAnchor="page" w:horzAnchor="margin" w:tblpXSpec="center" w:tblpY="4008"/>
        <w:tblW w:w="0" w:type="auto"/>
        <w:tblBorders>
          <w:top w:val="single" w:sz="2" w:space="0" w:color="F47B44"/>
          <w:left w:val="single" w:sz="2" w:space="0" w:color="F47B44"/>
          <w:bottom w:val="single" w:sz="2" w:space="0" w:color="F47B44"/>
          <w:right w:val="single" w:sz="2" w:space="0" w:color="F47B44"/>
          <w:insideH w:val="single" w:sz="2" w:space="0" w:color="F47B44"/>
          <w:insideV w:val="single" w:sz="2" w:space="0" w:color="F47B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3968"/>
        <w:gridCol w:w="3396"/>
      </w:tblGrid>
      <w:tr w:rsidR="00863D59" w14:paraId="2BAB3D5C" w14:textId="77777777" w:rsidTr="00863D59">
        <w:trPr>
          <w:trHeight w:val="374"/>
        </w:trPr>
        <w:tc>
          <w:tcPr>
            <w:tcW w:w="9929" w:type="dxa"/>
            <w:gridSpan w:val="3"/>
            <w:shd w:val="clear" w:color="auto" w:fill="F15A22"/>
          </w:tcPr>
          <w:p w14:paraId="11E57AF8" w14:textId="26B470A0" w:rsidR="00863D59" w:rsidRPr="004F18E9" w:rsidRDefault="00863D59" w:rsidP="00863D59">
            <w:pPr>
              <w:pStyle w:val="TableParagraph"/>
              <w:spacing w:before="44"/>
              <w:ind w:left="80" w:right="0"/>
              <w:jc w:val="left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EDF Extended gas prices - effective from 1 February 2024</w:t>
            </w:r>
          </w:p>
        </w:tc>
      </w:tr>
      <w:tr w:rsidR="00863D59" w14:paraId="5614AECA" w14:textId="77777777" w:rsidTr="00863D59">
        <w:trPr>
          <w:trHeight w:val="305"/>
        </w:trPr>
        <w:tc>
          <w:tcPr>
            <w:tcW w:w="2565" w:type="dxa"/>
          </w:tcPr>
          <w:p w14:paraId="635DADEA" w14:textId="77777777" w:rsidR="00863D59" w:rsidRDefault="00863D59" w:rsidP="00863D59">
            <w:pPr>
              <w:pStyle w:val="TableParagraph"/>
              <w:spacing w:before="40"/>
              <w:ind w:left="723" w:right="7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Meter Type</w:t>
            </w:r>
          </w:p>
        </w:tc>
        <w:tc>
          <w:tcPr>
            <w:tcW w:w="3968" w:type="dxa"/>
          </w:tcPr>
          <w:p w14:paraId="1BE5CC64" w14:textId="77777777" w:rsidR="00863D59" w:rsidRDefault="00863D59" w:rsidP="00863D59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Standing charge</w:t>
            </w:r>
            <w:r>
              <w:rPr>
                <w:color w:val="231F20"/>
                <w:position w:val="7"/>
                <w:sz w:val="11"/>
              </w:rPr>
              <w:t xml:space="preserve">^ </w:t>
            </w:r>
            <w:r>
              <w:rPr>
                <w:color w:val="231F20"/>
                <w:sz w:val="20"/>
              </w:rPr>
              <w:t>(pence per day)</w:t>
            </w:r>
          </w:p>
        </w:tc>
        <w:tc>
          <w:tcPr>
            <w:tcW w:w="3396" w:type="dxa"/>
          </w:tcPr>
          <w:p w14:paraId="59DEDEC2" w14:textId="77777777" w:rsidR="00863D59" w:rsidRDefault="00863D59" w:rsidP="00863D59">
            <w:pPr>
              <w:pStyle w:val="TableParagraph"/>
              <w:ind w:left="572" w:right="566"/>
              <w:rPr>
                <w:sz w:val="20"/>
              </w:rPr>
            </w:pPr>
            <w:r>
              <w:rPr>
                <w:color w:val="231F20"/>
                <w:sz w:val="20"/>
              </w:rPr>
              <w:t>Unit rate (pence per kWh)</w:t>
            </w:r>
          </w:p>
        </w:tc>
      </w:tr>
      <w:tr w:rsidR="00863D59" w14:paraId="0F60E9EB" w14:textId="77777777" w:rsidTr="00863D59">
        <w:trPr>
          <w:trHeight w:val="305"/>
        </w:trPr>
        <w:tc>
          <w:tcPr>
            <w:tcW w:w="2565" w:type="dxa"/>
            <w:shd w:val="clear" w:color="auto" w:fill="FEEBDE"/>
          </w:tcPr>
          <w:p w14:paraId="72824DF3" w14:textId="77777777" w:rsidR="00863D59" w:rsidRDefault="00863D59" w:rsidP="00863D59">
            <w:pPr>
              <w:pStyle w:val="TableParagraph"/>
              <w:ind w:left="723" w:right="718"/>
              <w:rPr>
                <w:sz w:val="20"/>
              </w:rPr>
            </w:pPr>
            <w:r>
              <w:rPr>
                <w:color w:val="231F20"/>
                <w:sz w:val="20"/>
              </w:rPr>
              <w:t>Standard</w:t>
            </w:r>
          </w:p>
        </w:tc>
        <w:tc>
          <w:tcPr>
            <w:tcW w:w="3968" w:type="dxa"/>
          </w:tcPr>
          <w:p w14:paraId="0BF569ED" w14:textId="00C6D579" w:rsidR="00863D59" w:rsidRDefault="00863D59" w:rsidP="00863D59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250p</w:t>
            </w:r>
          </w:p>
        </w:tc>
        <w:tc>
          <w:tcPr>
            <w:tcW w:w="3396" w:type="dxa"/>
          </w:tcPr>
          <w:p w14:paraId="60ED6C4F" w14:textId="370C76D6" w:rsidR="00863D59" w:rsidRDefault="00863D59" w:rsidP="00863D59">
            <w:pPr>
              <w:pStyle w:val="TableParagraph"/>
              <w:ind w:left="572" w:right="566"/>
              <w:rPr>
                <w:sz w:val="20"/>
              </w:rPr>
            </w:pPr>
            <w:r>
              <w:rPr>
                <w:color w:val="231F20"/>
                <w:sz w:val="20"/>
              </w:rPr>
              <w:t>15.</w:t>
            </w:r>
            <w:r w:rsidR="00D85B5C">
              <w:rPr>
                <w:color w:val="231F20"/>
                <w:sz w:val="20"/>
              </w:rPr>
              <w:t>87</w:t>
            </w:r>
            <w:r>
              <w:rPr>
                <w:color w:val="231F20"/>
                <w:sz w:val="20"/>
              </w:rPr>
              <w:t>p</w:t>
            </w:r>
          </w:p>
        </w:tc>
      </w:tr>
    </w:tbl>
    <w:p w14:paraId="219A0E8D" w14:textId="77777777" w:rsidR="00160ACA" w:rsidRDefault="00160ACA">
      <w:pPr>
        <w:pStyle w:val="BodyText"/>
        <w:rPr>
          <w:rFonts w:ascii="Times New Roman"/>
        </w:rPr>
      </w:pPr>
    </w:p>
    <w:p w14:paraId="2E2D085F" w14:textId="77777777" w:rsidR="00160ACA" w:rsidRDefault="00160ACA">
      <w:pPr>
        <w:pStyle w:val="BodyText"/>
        <w:spacing w:before="5" w:after="1"/>
        <w:rPr>
          <w:rFonts w:ascii="Times New Roman"/>
          <w:sz w:val="28"/>
        </w:rPr>
      </w:pPr>
    </w:p>
    <w:p w14:paraId="5BEBA1DC" w14:textId="77777777" w:rsidR="00160ACA" w:rsidRDefault="00160ACA">
      <w:pPr>
        <w:pStyle w:val="BodyText"/>
        <w:spacing w:before="1"/>
        <w:rPr>
          <w:rFonts w:ascii="Times New Roman"/>
          <w:sz w:val="11"/>
        </w:rPr>
      </w:pPr>
    </w:p>
    <w:p w14:paraId="79AD555A" w14:textId="2E7CBC3F" w:rsidR="00160ACA" w:rsidRDefault="002F53A9">
      <w:pPr>
        <w:spacing w:before="100"/>
        <w:ind w:left="982"/>
        <w:rPr>
          <w:b/>
          <w:sz w:val="20"/>
        </w:rPr>
      </w:pPr>
      <w:r>
        <w:pict w14:anchorId="20E7F58B">
          <v:group id="_x0000_s1026" style="position:absolute;left:0;text-align:left;margin-left:5.1pt;margin-top:-280.2pt;width:584.55pt;height:262.55pt;z-index:-251658240;mso-position-horizontal-relative:page" coordorigin="102,-5604" coordsize="11691,5251">
            <v:shape id="_x0000_s1039" style="position:absolute;left:102;top:-5605;width:11673;height:5251" coordorigin="102,-5604" coordsize="11673,5251" path="m11774,-5604r-11672,l102,-4415r10080,729l11774,-353r,-5251xe" fillcolor="#f15a22" stroked="f">
              <v:path arrowok="t"/>
            </v:shape>
            <v:shape id="_x0000_s1038" style="position:absolute;left:102;top:-5605;width:11691;height:4891" coordorigin="102,-5604" coordsize="11691,4891" o:spt="100" adj="0,,0" path="m9531,-3841l2552,-5604r-2450,l102,-4766r9429,925m11792,-1416l10580,-3123r1194,2409l11792,-1416e" fillcolor="#fdb515" stroked="f">
              <v:stroke joinstyle="round"/>
              <v:formulas/>
              <v:path arrowok="t" o:connecttype="segments"/>
            </v:shape>
            <v:shape id="_x0000_s1037" style="position:absolute;left:9519;top:-5004;width:784;height:707" coordorigin="9519,-5004" coordsize="784,707" o:spt="100" adj="0,,0" path="m9789,-4311r-91,l9703,-4310r13,7l9720,-4302r26,-2l9770,-4304r5,-1l9788,-4310r1,-1xm9770,-4304r-24,l9761,-4302r9,-2xm9803,-4320r-132,l9674,-4309r24,-2l9789,-4311r12,-7l9803,-4320xm9844,-4346r-210,l9640,-4339r5,5l9647,-4322r5,4l9671,-4320r132,l9811,-4325r11,l9829,-4331r10,-9l9844,-4346xm9822,-4325r-11,l9821,-4324r1,-1xm9612,-4440r-3,1l9610,-4438r4,10l9618,-4409r5,21l9627,-4367r-1,13l9630,-4341r4,-5l9844,-4346r5,-6l9859,-4364r7,-12l9876,-4409r,-14l9693,-4423r-45,l9612,-4440xm9847,-4521r-15,1l9826,-4514r-15,2l9806,-4505r-6,10l9791,-4482r-9,12l9772,-4459r-35,23l9693,-4423r183,l9877,-4450r-5,-39l9861,-4514r-6,-7l9847,-4521xm10225,-4350r-168,l10074,-4343r24,16l10120,-4309r12,12l10155,-4298r14,-4l10181,-4310r16,-9l10205,-4322r9,l10221,-4329r,-11l10226,-4345r-1,-5xm10214,-4322r-9,l10211,-4319r3,-3xm9991,-4543r-9,7l9975,-4532r-6,5l9963,-4517r-1,l9964,-4515r-1,l9971,-4504r11,9l9994,-4487r11,8l10010,-4475r12,21l10028,-4453r6,8l10038,-4424r5,l10047,-4418r-5,14l10047,-4398r,25l10043,-4371r-4,5l10039,-4364r2,4l10041,-4358r2,1l10053,-4350r4,l10225,-4350r-13,-54l10173,-4457r-55,-43l10054,-4530r-63,-13xm9562,-4735r-18,6l9534,-4716r-7,16l9519,-4684r20,44l9588,-4601r64,25l9719,-4577r10,-2l9739,-4580r11,-3l9759,-4586r17,-11l9797,-4615r16,-23l9811,-4662r-14,-27l9726,-4689r-31,-6l9669,-4708r-18,-20l9565,-4728r-4,-4l9563,-4732r-1,-3xm10249,-4598r-52,l10203,-4596r16,3l10226,-4592r17,-4l10249,-4598xm10301,-4654r-257,l10101,-4651r50,14l10180,-4608r2,7l10183,-4597r,2l10193,-4598r4,l10249,-4598r10,-2l10262,-4605r-1,-5l10261,-4612r12,l10276,-4615r14,-5l10295,-4628r2,-9l10303,-4648r-2,-6xm10273,-4612r-12,l10272,-4612r1,xm10171,-4756r-70,3l10067,-4746r-27,9l10018,-4727r-17,11l9988,-4707r-4,6l9979,-4693r-2,9l9979,-4666r4,9l9991,-4652r53,-2l10301,-4654r-20,-53l10235,-4742r-64,-14xm9763,-4694r-37,5l9797,-4689r-1,-2l9763,-4694xm9564,-4731r1,3l9651,-4728r-2,-1l9570,-4729r-6,-2xm9579,-4755r-1,10l9577,-4739r-4,5l9572,-4732r-1,1l9570,-4729r79,l9645,-4734r-13,-20l9592,-4754r-13,-1xm9563,-4732r-2,l9564,-4731r-1,-1xm9868,-4985r-21,7l9829,-4966r-15,15l9801,-4936r-12,17l9780,-4897r-4,23l9782,-4853r-3,16l9815,-4784r12,9l9829,-4769r13,9l9851,-4747r11,4l9877,-4742r14,l9899,-4745r30,-14l9944,-4796r9,-42l9962,-4867r-2,-10l9951,-4887r-8,-5l9944,-4910r2,-20l9950,-4948r10,-14l9969,-4975r7,-3l9893,-4978r-25,-7xm9602,-4804r-5,9l9594,-4785r-1,13l9592,-4754r40,l9625,-4764r-12,-26l9610,-4798r-3,-5l9602,-4803r,-1xm9609,-4801r1,3l9611,-4797r-2,-4xm9605,-4806r-3,3l9607,-4803r-2,-3l9605,-4806xm9993,-5004r-18,5l9968,-4998r-32,10l9912,-4982r-19,4l9976,-4978r6,-3l9994,-4986r2,-9l9993,-5004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0676;top:-4747;width:268;height:301">
              <v:imagedata r:id="rId9" o:title=""/>
            </v:shape>
            <v:shape id="_x0000_s1035" style="position:absolute;left:10982;top:-4574;width:81;height:128" coordorigin="10982,-4574" coordsize="81,128" path="m11062,-4460r,l11062,-4470r,-6l11062,-4478r,-96l10983,-4574r,96l10983,-4476r,6l10983,-4460r-1,l10982,-4446r80,l11062,-4460e" stroked="f">
              <v:path arrowok="t"/>
            </v:shape>
            <v:line id="_x0000_s1034" style="position:absolute" from="10983,-4601" to="11161,-4601" strokecolor="white" strokeweight="2.7pt"/>
            <v:rect id="_x0000_s1033" style="position:absolute;left:10982;top:-4690;width:80;height:62" stroked="f"/>
            <v:line id="_x0000_s1032" style="position:absolute" from="10983,-4703" to="11173,-4703" strokecolor="white" strokeweight="1.3pt"/>
            <v:line id="_x0000_s1031" style="position:absolute" from="10983,-4724" to="11173,-4724" strokecolor="white" strokeweight=".8pt"/>
            <v:line id="_x0000_s1030" style="position:absolute" from="10982,-4739" to="11173,-4739" strokecolor="white" strokeweight=".7pt"/>
            <v:shape id="_x0000_s1029" style="position:absolute;left:11115;top:-4690;width:58;height:117" coordorigin="11116,-4690" coordsize="58,117" o:spt="100" adj="0,,0" path="m11161,-4574r-45,l11124,-4574r8,l11161,-4573r,-1m11161,-4629r-45,1l11161,-4628r,-1m11173,-4690r-28,l11145,-4688r28,l11173,-4690e" stroked="f">
              <v:stroke joinstyle="round"/>
              <v:formulas/>
              <v:path arrowok="t" o:connecttype="segments"/>
            </v:shape>
            <v:shape id="_x0000_s1028" type="#_x0000_t75" style="position:absolute;left:10361;top:-4753;width:271;height:31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2;top:-5605;width:11691;height:5251" filled="f" stroked="f">
              <v:textbox style="mso-next-textbox:#_x0000_s1027" inset="0,0,0,0">
                <w:txbxContent>
                  <w:p w14:paraId="7DC38B11" w14:textId="77777777" w:rsidR="00160ACA" w:rsidRDefault="00160ACA">
                    <w:pPr>
                      <w:rPr>
                        <w:sz w:val="84"/>
                      </w:rPr>
                    </w:pPr>
                  </w:p>
                  <w:p w14:paraId="51BB0682" w14:textId="77777777" w:rsidR="00160ACA" w:rsidRDefault="00160ACA">
                    <w:pPr>
                      <w:rPr>
                        <w:sz w:val="84"/>
                      </w:rPr>
                    </w:pPr>
                  </w:p>
                  <w:p w14:paraId="0EF58278" w14:textId="77777777" w:rsidR="00160ACA" w:rsidRPr="00B0502B" w:rsidRDefault="00160ACA">
                    <w:pPr>
                      <w:spacing w:before="9"/>
                      <w:rPr>
                        <w:sz w:val="56"/>
                        <w:szCs w:val="18"/>
                      </w:rPr>
                    </w:pPr>
                  </w:p>
                  <w:p w14:paraId="7B9AF5E1" w14:textId="77777777" w:rsidR="00160ACA" w:rsidRDefault="00B0502B">
                    <w:pPr>
                      <w:tabs>
                        <w:tab w:val="left" w:pos="3921"/>
                        <w:tab w:val="left" w:pos="6682"/>
                        <w:tab w:val="left" w:pos="8042"/>
                      </w:tabs>
                      <w:ind w:left="880"/>
                      <w:rPr>
                        <w:sz w:val="72"/>
                      </w:rPr>
                    </w:pPr>
                    <w:r>
                      <w:rPr>
                        <w:color w:val="F15A22"/>
                        <w:sz w:val="72"/>
                      </w:rPr>
                      <w:t>Extended</w:t>
                    </w:r>
                    <w:r>
                      <w:rPr>
                        <w:color w:val="F15A22"/>
                        <w:sz w:val="72"/>
                      </w:rPr>
                      <w:tab/>
                      <w:t>Business</w:t>
                    </w:r>
                    <w:r>
                      <w:rPr>
                        <w:color w:val="F15A22"/>
                        <w:sz w:val="72"/>
                      </w:rPr>
                      <w:tab/>
                      <w:t>Gas</w:t>
                    </w:r>
                    <w:r>
                      <w:rPr>
                        <w:color w:val="F15A22"/>
                        <w:sz w:val="72"/>
                      </w:rPr>
                      <w:tab/>
                      <w:t>Prices</w:t>
                    </w:r>
                  </w:p>
                  <w:p w14:paraId="08ADE9F6" w14:textId="77777777" w:rsidR="00A20AED" w:rsidRDefault="00A20AED" w:rsidP="00A20AED">
                    <w:pPr>
                      <w:pStyle w:val="BodyText"/>
                      <w:kinsoku w:val="0"/>
                      <w:overflowPunct w:val="0"/>
                      <w:spacing w:before="231"/>
                      <w:ind w:left="861"/>
                      <w:rPr>
                        <w:color w:val="231F20"/>
                      </w:rPr>
                    </w:pPr>
                    <w:r>
                      <w:rPr>
                        <w:color w:val="231F20"/>
                      </w:rPr>
                      <w:t>Effective from 01 February 2024</w:t>
                    </w:r>
                  </w:p>
                  <w:p w14:paraId="02D7B31A" w14:textId="77777777" w:rsidR="00160ACA" w:rsidRDefault="00B0502B">
                    <w:pPr>
                      <w:spacing w:before="212"/>
                      <w:ind w:left="861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All prices exclude VAT and Climate Change Levy (CCL)</w:t>
                    </w:r>
                  </w:p>
                </w:txbxContent>
              </v:textbox>
            </v:shape>
            <w10:wrap anchorx="page"/>
          </v:group>
        </w:pict>
      </w:r>
    </w:p>
    <w:p w14:paraId="40799F7B" w14:textId="024E8A24" w:rsidR="004F18E9" w:rsidRDefault="004F18E9">
      <w:pPr>
        <w:pStyle w:val="BodyText"/>
        <w:spacing w:before="121" w:line="247" w:lineRule="auto"/>
        <w:ind w:left="982" w:right="993"/>
        <w:rPr>
          <w:color w:val="231F20"/>
        </w:rPr>
      </w:pPr>
      <w:r>
        <w:rPr>
          <w:b/>
          <w:color w:val="231F20"/>
        </w:rPr>
        <w:t>Important Information</w:t>
      </w:r>
    </w:p>
    <w:p w14:paraId="09B05522" w14:textId="14E80B87" w:rsidR="00160ACA" w:rsidRDefault="00B0502B">
      <w:pPr>
        <w:pStyle w:val="BodyText"/>
        <w:spacing w:before="121" w:line="247" w:lineRule="auto"/>
        <w:ind w:left="982" w:right="993"/>
      </w:pPr>
      <w:r>
        <w:rPr>
          <w:color w:val="231F20"/>
        </w:rPr>
        <w:t xml:space="preserve">Where there are any changes to your existing prices during a billing period, charges will be pro-rated for the </w:t>
      </w:r>
      <w:r>
        <w:rPr>
          <w:color w:val="231F20"/>
          <w:spacing w:val="-3"/>
        </w:rPr>
        <w:t xml:space="preserve">number </w:t>
      </w:r>
      <w:r>
        <w:rPr>
          <w:color w:val="231F20"/>
        </w:rPr>
        <w:t>of days up to the price change. The new charges will apply pro-rata for the remaining bill period. Estimated data may be used in accordance with your supply terms.</w:t>
      </w:r>
    </w:p>
    <w:p w14:paraId="4CBEC182" w14:textId="77777777" w:rsidR="00160ACA" w:rsidRDefault="00B0502B">
      <w:pPr>
        <w:pStyle w:val="BodyText"/>
        <w:spacing w:before="116"/>
        <w:ind w:left="982"/>
      </w:pPr>
      <w:r>
        <w:rPr>
          <w:color w:val="231F20"/>
        </w:rPr>
        <w:t>The Standing Charge is applied per meter.</w:t>
      </w:r>
    </w:p>
    <w:p w14:paraId="4D126EFE" w14:textId="77777777" w:rsidR="00160ACA" w:rsidRDefault="00B0502B">
      <w:pPr>
        <w:pStyle w:val="BodyText"/>
        <w:spacing w:before="121"/>
        <w:ind w:left="982"/>
      </w:pPr>
      <w:r>
        <w:rPr>
          <w:color w:val="231F20"/>
        </w:rPr>
        <w:t>All unit rates are in pence per kWh and exclude VAT and Climate Change Levy (CCL)</w:t>
      </w:r>
    </w:p>
    <w:p w14:paraId="5738ED26" w14:textId="77777777" w:rsidR="00160ACA" w:rsidRDefault="00160ACA">
      <w:pPr>
        <w:pStyle w:val="BodyText"/>
      </w:pPr>
    </w:p>
    <w:p w14:paraId="3DEEB3B4" w14:textId="77777777" w:rsidR="00160ACA" w:rsidRDefault="00160ACA">
      <w:pPr>
        <w:pStyle w:val="BodyText"/>
      </w:pPr>
    </w:p>
    <w:p w14:paraId="0970E59F" w14:textId="77777777" w:rsidR="00160ACA" w:rsidRDefault="00160ACA">
      <w:pPr>
        <w:pStyle w:val="BodyText"/>
      </w:pPr>
    </w:p>
    <w:p w14:paraId="4B25C773" w14:textId="77777777" w:rsidR="00160ACA" w:rsidRDefault="00160ACA">
      <w:pPr>
        <w:pStyle w:val="BodyText"/>
      </w:pPr>
    </w:p>
    <w:p w14:paraId="03615395" w14:textId="77777777" w:rsidR="00160ACA" w:rsidRDefault="00160ACA">
      <w:pPr>
        <w:pStyle w:val="BodyText"/>
      </w:pPr>
    </w:p>
    <w:p w14:paraId="47D03593" w14:textId="77777777" w:rsidR="00160ACA" w:rsidRDefault="00160ACA">
      <w:pPr>
        <w:pStyle w:val="BodyText"/>
      </w:pPr>
    </w:p>
    <w:p w14:paraId="19A415F5" w14:textId="77777777" w:rsidR="00160ACA" w:rsidRDefault="00160ACA">
      <w:pPr>
        <w:pStyle w:val="BodyText"/>
      </w:pPr>
    </w:p>
    <w:p w14:paraId="46EB0B68" w14:textId="77777777" w:rsidR="00160ACA" w:rsidRDefault="00160ACA">
      <w:pPr>
        <w:pStyle w:val="BodyText"/>
      </w:pPr>
    </w:p>
    <w:p w14:paraId="42215F7C" w14:textId="77777777" w:rsidR="00160ACA" w:rsidRDefault="00160ACA">
      <w:pPr>
        <w:pStyle w:val="BodyText"/>
      </w:pPr>
    </w:p>
    <w:p w14:paraId="1558F58F" w14:textId="77777777" w:rsidR="00160ACA" w:rsidRDefault="00160ACA">
      <w:pPr>
        <w:pStyle w:val="BodyText"/>
      </w:pPr>
    </w:p>
    <w:p w14:paraId="10D13CCE" w14:textId="77777777" w:rsidR="00160ACA" w:rsidRDefault="00160ACA">
      <w:pPr>
        <w:pStyle w:val="BodyText"/>
      </w:pPr>
    </w:p>
    <w:p w14:paraId="461653BF" w14:textId="77777777" w:rsidR="00160ACA" w:rsidRDefault="00160ACA">
      <w:pPr>
        <w:pStyle w:val="BodyText"/>
      </w:pPr>
    </w:p>
    <w:p w14:paraId="6197A6F8" w14:textId="77777777" w:rsidR="00160ACA" w:rsidRDefault="00160ACA">
      <w:pPr>
        <w:pStyle w:val="BodyText"/>
      </w:pPr>
    </w:p>
    <w:p w14:paraId="11ED571B" w14:textId="77777777" w:rsidR="00160ACA" w:rsidRDefault="00160ACA">
      <w:pPr>
        <w:pStyle w:val="BodyText"/>
      </w:pPr>
    </w:p>
    <w:p w14:paraId="59336692" w14:textId="77777777" w:rsidR="00160ACA" w:rsidRDefault="00160ACA">
      <w:pPr>
        <w:pStyle w:val="BodyText"/>
      </w:pPr>
    </w:p>
    <w:p w14:paraId="23F2DEFC" w14:textId="77777777" w:rsidR="00160ACA" w:rsidRDefault="00160ACA">
      <w:pPr>
        <w:pStyle w:val="BodyText"/>
      </w:pPr>
    </w:p>
    <w:p w14:paraId="37612B43" w14:textId="77777777" w:rsidR="00160ACA" w:rsidRDefault="00160ACA">
      <w:pPr>
        <w:pStyle w:val="BodyText"/>
      </w:pPr>
    </w:p>
    <w:p w14:paraId="25C56848" w14:textId="77777777" w:rsidR="00160ACA" w:rsidRDefault="00160ACA">
      <w:pPr>
        <w:pStyle w:val="BodyText"/>
      </w:pPr>
    </w:p>
    <w:p w14:paraId="213E5BD0" w14:textId="77777777" w:rsidR="00160ACA" w:rsidRDefault="00160ACA">
      <w:pPr>
        <w:pStyle w:val="BodyText"/>
      </w:pPr>
    </w:p>
    <w:p w14:paraId="7055033E" w14:textId="77777777" w:rsidR="00160ACA" w:rsidRDefault="00160ACA">
      <w:pPr>
        <w:pStyle w:val="BodyText"/>
      </w:pPr>
    </w:p>
    <w:p w14:paraId="086A42B6" w14:textId="77777777" w:rsidR="00160ACA" w:rsidRDefault="00160ACA">
      <w:pPr>
        <w:pStyle w:val="BodyText"/>
      </w:pPr>
    </w:p>
    <w:p w14:paraId="6F8DE3DB" w14:textId="77777777" w:rsidR="00160ACA" w:rsidRDefault="00160ACA">
      <w:pPr>
        <w:pStyle w:val="BodyText"/>
      </w:pPr>
    </w:p>
    <w:p w14:paraId="316B3B0D" w14:textId="77777777" w:rsidR="00160ACA" w:rsidRDefault="00160ACA">
      <w:pPr>
        <w:pStyle w:val="BodyText"/>
      </w:pPr>
    </w:p>
    <w:p w14:paraId="79C52A2D" w14:textId="77777777" w:rsidR="00160ACA" w:rsidRDefault="00160ACA">
      <w:pPr>
        <w:pStyle w:val="BodyText"/>
      </w:pPr>
    </w:p>
    <w:p w14:paraId="281CF61D" w14:textId="77777777" w:rsidR="00160ACA" w:rsidRDefault="00160ACA">
      <w:pPr>
        <w:pStyle w:val="BodyText"/>
        <w:spacing w:before="11"/>
        <w:rPr>
          <w:sz w:val="29"/>
        </w:rPr>
      </w:pPr>
    </w:p>
    <w:p w14:paraId="7A1A856E" w14:textId="77777777" w:rsidR="00160ACA" w:rsidRDefault="00B0502B">
      <w:pPr>
        <w:spacing w:before="100"/>
        <w:ind w:left="1001"/>
        <w:rPr>
          <w:b/>
          <w:sz w:val="20"/>
        </w:rPr>
      </w:pPr>
      <w:r>
        <w:rPr>
          <w:color w:val="231F20"/>
          <w:sz w:val="20"/>
        </w:rPr>
        <w:t xml:space="preserve">For our Terms and Conditions visit </w:t>
      </w:r>
      <w:r>
        <w:rPr>
          <w:b/>
          <w:color w:val="231F20"/>
          <w:sz w:val="20"/>
        </w:rPr>
        <w:t>edfenergy.com/t-and-c</w:t>
      </w:r>
    </w:p>
    <w:p w14:paraId="667DD76D" w14:textId="77777777" w:rsidR="00160ACA" w:rsidRDefault="00B0502B">
      <w:pPr>
        <w:pStyle w:val="BodyText"/>
        <w:spacing w:before="65" w:line="247" w:lineRule="auto"/>
        <w:ind w:left="1001" w:right="993"/>
      </w:pPr>
      <w:r>
        <w:rPr>
          <w:color w:val="231F20"/>
        </w:rPr>
        <w:t>Calls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inclusive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don’t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inclusive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plan, </w:t>
      </w:r>
      <w:r>
        <w:rPr>
          <w:color w:val="231F20"/>
        </w:rPr>
        <w:t>calls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charged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provider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you’re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unsure.</w:t>
      </w:r>
    </w:p>
    <w:p w14:paraId="04BE6437" w14:textId="77777777" w:rsidR="00160ACA" w:rsidRDefault="00160ACA">
      <w:pPr>
        <w:pStyle w:val="BodyText"/>
        <w:spacing w:before="8"/>
        <w:rPr>
          <w:sz w:val="8"/>
        </w:rPr>
      </w:pPr>
    </w:p>
    <w:p w14:paraId="17174FE0" w14:textId="77777777" w:rsidR="00160ACA" w:rsidRDefault="002F53A9">
      <w:pPr>
        <w:spacing w:before="95"/>
        <w:ind w:left="987"/>
        <w:rPr>
          <w:rFonts w:ascii="Frutiger LT 55 Roman"/>
          <w:sz w:val="16"/>
        </w:rPr>
      </w:pPr>
      <w:hyperlink r:id="rId11">
        <w:r w:rsidR="00B0502B">
          <w:rPr>
            <w:rFonts w:ascii="Frutiger LT 55 Roman"/>
            <w:color w:val="231F20"/>
            <w:sz w:val="16"/>
          </w:rPr>
          <w:t>www.edfenergy.com</w:t>
        </w:r>
      </w:hyperlink>
    </w:p>
    <w:p w14:paraId="745FF932" w14:textId="77777777" w:rsidR="00160ACA" w:rsidRDefault="00B0502B">
      <w:pPr>
        <w:spacing w:before="117" w:line="338" w:lineRule="auto"/>
        <w:ind w:left="982" w:right="993"/>
        <w:rPr>
          <w:sz w:val="12"/>
        </w:rPr>
      </w:pPr>
      <w:r>
        <w:rPr>
          <w:color w:val="231F20"/>
          <w:sz w:val="12"/>
        </w:rPr>
        <w:t>EDF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Energy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trading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name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used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EDF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Energy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Customers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Ltd,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Reg.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No.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02228297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whose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Registered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Office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at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90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Whitfield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Street,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London,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W1T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4EZ,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incorporated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England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pacing w:val="-2"/>
          <w:sz w:val="12"/>
        </w:rPr>
        <w:t xml:space="preserve">Wales. </w:t>
      </w:r>
      <w:r>
        <w:rPr>
          <w:color w:val="231F20"/>
          <w:sz w:val="12"/>
        </w:rPr>
        <w:t>B705.09/21.V8</w:t>
      </w:r>
    </w:p>
    <w:sectPr w:rsidR="00160ACA">
      <w:type w:val="continuous"/>
      <w:pgSz w:w="11910" w:h="16840"/>
      <w:pgMar w:top="1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31BB6" w14:textId="77777777" w:rsidR="00B0502B" w:rsidRDefault="00B0502B" w:rsidP="00B0502B">
      <w:r>
        <w:separator/>
      </w:r>
    </w:p>
  </w:endnote>
  <w:endnote w:type="continuationSeparator" w:id="0">
    <w:p w14:paraId="5B536E13" w14:textId="77777777" w:rsidR="00B0502B" w:rsidRDefault="00B0502B" w:rsidP="00B0502B">
      <w:r>
        <w:continuationSeparator/>
      </w:r>
    </w:p>
  </w:endnote>
  <w:endnote w:type="continuationNotice" w:id="1">
    <w:p w14:paraId="33E93FD1" w14:textId="77777777" w:rsidR="002B4041" w:rsidRDefault="002B4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256BA" w14:textId="77777777" w:rsidR="00B0502B" w:rsidRDefault="00B0502B" w:rsidP="00B0502B">
      <w:r>
        <w:separator/>
      </w:r>
    </w:p>
  </w:footnote>
  <w:footnote w:type="continuationSeparator" w:id="0">
    <w:p w14:paraId="1790D703" w14:textId="77777777" w:rsidR="00B0502B" w:rsidRDefault="00B0502B" w:rsidP="00B0502B">
      <w:r>
        <w:continuationSeparator/>
      </w:r>
    </w:p>
  </w:footnote>
  <w:footnote w:type="continuationNotice" w:id="1">
    <w:p w14:paraId="6071452E" w14:textId="77777777" w:rsidR="002B4041" w:rsidRDefault="002B40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ACA"/>
    <w:rsid w:val="00160ACA"/>
    <w:rsid w:val="002B4041"/>
    <w:rsid w:val="002F53A9"/>
    <w:rsid w:val="004F18E9"/>
    <w:rsid w:val="00863D59"/>
    <w:rsid w:val="00A20AED"/>
    <w:rsid w:val="00B0502B"/>
    <w:rsid w:val="00D85B5C"/>
    <w:rsid w:val="00E2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386C51"/>
  <w15:docId w15:val="{B2DB7C65-1B18-492A-A2E1-056F262F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LT 45 Light" w:eastAsia="Frutiger LT 45 Light" w:hAnsi="Frutiger LT 45 Light" w:cs="Frutiger LT 45 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565" w:right="560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2B4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041"/>
    <w:rPr>
      <w:rFonts w:ascii="Frutiger LT 45 Light" w:eastAsia="Frutiger LT 45 Light" w:hAnsi="Frutiger LT 45 Light" w:cs="Frutiger LT 45 Light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2B4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041"/>
    <w:rPr>
      <w:rFonts w:ascii="Frutiger LT 45 Light" w:eastAsia="Frutiger LT 45 Light" w:hAnsi="Frutiger LT 45 Light" w:cs="Frutiger LT 45 Light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fenergy.com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5A870677F394CA97AB7EDC9B98F4E" ma:contentTypeVersion="14" ma:contentTypeDescription="Create a new document." ma:contentTypeScope="" ma:versionID="3e47e4d8e8fac3b1758a5c6010b7f917">
  <xsd:schema xmlns:xsd="http://www.w3.org/2001/XMLSchema" xmlns:xs="http://www.w3.org/2001/XMLSchema" xmlns:p="http://schemas.microsoft.com/office/2006/metadata/properties" xmlns:ns2="99c56fac-74db-4097-a212-7317c5c76a41" xmlns:ns3="e29f695a-c882-4701-9e7b-e5781baa4fe0" targetNamespace="http://schemas.microsoft.com/office/2006/metadata/properties" ma:root="true" ma:fieldsID="41f2bccde575d27c89fd5a2226723432" ns2:_="" ns3:_="">
    <xsd:import namespace="99c56fac-74db-4097-a212-7317c5c76a41"/>
    <xsd:import namespace="e29f695a-c882-4701-9e7b-e5781baa4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56fac-74db-4097-a212-7317c5c7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3a9f52-cc49-4e1c-971c-abeceeca2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695a-c882-4701-9e7b-e5781baa4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24ceff4-3fc2-407e-bd47-a1b13fb444e0}" ma:internalName="TaxCatchAll" ma:showField="CatchAllData" ma:web="e29f695a-c882-4701-9e7b-e5781baa4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8DB7F-E06E-4ADB-8BA5-8E9969B0F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A620C-220E-4C0E-B146-0EC011FC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56fac-74db-4097-a212-7317c5c76a41"/>
    <ds:schemaRef ds:uri="e29f695a-c882-4701-9e7b-e5781baa4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4</DocSecurity>
  <Lines>8</Lines>
  <Paragraphs>2</Paragraphs>
  <ScaleCrop>false</ScaleCrop>
  <Company>EDF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Mei, Xinyue (Tavi)</cp:lastModifiedBy>
  <cp:revision>6</cp:revision>
  <dcterms:created xsi:type="dcterms:W3CDTF">2022-12-29T12:24:00Z</dcterms:created>
  <dcterms:modified xsi:type="dcterms:W3CDTF">2024-01-30T21:18:00Z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2022-12-29T00:00:00Z</vt:filetime>
  </property>
</Properties>
</file>